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A2" w:rsidRPr="003D6C4D" w:rsidRDefault="007522A2" w:rsidP="007522A2">
      <w:pPr>
        <w:spacing w:after="0" w:line="360" w:lineRule="auto"/>
        <w:jc w:val="both"/>
        <w:rPr>
          <w:rFonts w:ascii="Times New Roman" w:hAnsi="Times New Roman"/>
          <w:b/>
        </w:rPr>
      </w:pPr>
      <w:r w:rsidRPr="003D6C4D">
        <w:rPr>
          <w:rFonts w:ascii="Times New Roman" w:hAnsi="Times New Roman"/>
          <w:b/>
        </w:rPr>
        <w:t>Tabela 1. Zale</w:t>
      </w:r>
      <w:r>
        <w:rPr>
          <w:rFonts w:ascii="Times New Roman" w:hAnsi="Times New Roman"/>
          <w:b/>
        </w:rPr>
        <w:t>cenia prewencji osteoporozy (5)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83"/>
        <w:gridCol w:w="2592"/>
        <w:gridCol w:w="2284"/>
        <w:gridCol w:w="3103"/>
      </w:tblGrid>
      <w:tr w:rsidR="007522A2" w:rsidRPr="003D6C4D" w:rsidTr="003B076E">
        <w:tc>
          <w:tcPr>
            <w:tcW w:w="598" w:type="pct"/>
            <w:vAlign w:val="center"/>
          </w:tcPr>
          <w:p w:rsidR="007522A2" w:rsidRPr="00773F08" w:rsidRDefault="007522A2" w:rsidP="003B076E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773F08">
              <w:rPr>
                <w:rFonts w:ascii="Times New Roman" w:hAnsi="Times New Roman"/>
                <w:b/>
                <w:sz w:val="18"/>
              </w:rPr>
              <w:t>WIEK</w:t>
            </w:r>
          </w:p>
        </w:tc>
        <w:tc>
          <w:tcPr>
            <w:tcW w:w="1430" w:type="pct"/>
            <w:vAlign w:val="center"/>
          </w:tcPr>
          <w:p w:rsidR="007522A2" w:rsidRPr="00773F08" w:rsidRDefault="007522A2" w:rsidP="003B076E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773F08">
              <w:rPr>
                <w:rFonts w:ascii="Times New Roman" w:hAnsi="Times New Roman"/>
                <w:b/>
                <w:sz w:val="18"/>
              </w:rPr>
              <w:t>UDZIELIĆ PORADY NA TEMAT</w:t>
            </w:r>
          </w:p>
        </w:tc>
        <w:tc>
          <w:tcPr>
            <w:tcW w:w="1260" w:type="pct"/>
            <w:vAlign w:val="center"/>
          </w:tcPr>
          <w:p w:rsidR="007522A2" w:rsidRPr="00773F08" w:rsidRDefault="007522A2" w:rsidP="003B076E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773F08">
              <w:rPr>
                <w:rFonts w:ascii="Times New Roman" w:hAnsi="Times New Roman"/>
                <w:b/>
                <w:sz w:val="18"/>
              </w:rPr>
              <w:t>ODPOWIEDZIALNI</w:t>
            </w:r>
          </w:p>
        </w:tc>
        <w:tc>
          <w:tcPr>
            <w:tcW w:w="1712" w:type="pct"/>
            <w:vAlign w:val="center"/>
          </w:tcPr>
          <w:p w:rsidR="007522A2" w:rsidRPr="00773F08" w:rsidRDefault="007522A2" w:rsidP="003B076E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773F08">
              <w:rPr>
                <w:rFonts w:ascii="Times New Roman" w:hAnsi="Times New Roman"/>
                <w:b/>
                <w:sz w:val="18"/>
              </w:rPr>
              <w:t>MIEJSCE I SPOSOBY DZIAŁANIA</w:t>
            </w:r>
          </w:p>
        </w:tc>
      </w:tr>
      <w:tr w:rsidR="007522A2" w:rsidRPr="003D6C4D" w:rsidTr="003B076E">
        <w:tc>
          <w:tcPr>
            <w:tcW w:w="598" w:type="pct"/>
          </w:tcPr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 xml:space="preserve">Życie </w:t>
            </w:r>
            <w:proofErr w:type="gramStart"/>
            <w:r w:rsidRPr="00773F08">
              <w:rPr>
                <w:rFonts w:ascii="Times New Roman" w:hAnsi="Times New Roman"/>
                <w:sz w:val="18"/>
              </w:rPr>
              <w:t>płodowe                 i</w:t>
            </w:r>
            <w:proofErr w:type="gramEnd"/>
            <w:r w:rsidRPr="00773F08">
              <w:rPr>
                <w:rFonts w:ascii="Times New Roman" w:hAnsi="Times New Roman"/>
                <w:sz w:val="18"/>
              </w:rPr>
              <w:t xml:space="preserve"> wczesne dzieciństwo</w:t>
            </w:r>
          </w:p>
        </w:tc>
        <w:tc>
          <w:tcPr>
            <w:tcW w:w="1430" w:type="pct"/>
          </w:tcPr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Zachowania prozdrowotne ciężarnej.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Odpowiednia ilość czasu spędzonego na słońcu.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Zachowanie odpowiedniej aktywności fizycznej.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 xml:space="preserve">Odpowiednia dieta </w:t>
            </w:r>
            <w:proofErr w:type="gramStart"/>
            <w:r w:rsidRPr="00773F08">
              <w:rPr>
                <w:rFonts w:ascii="Times New Roman" w:hAnsi="Times New Roman"/>
                <w:sz w:val="18"/>
              </w:rPr>
              <w:t>bogata</w:t>
            </w:r>
            <w:r>
              <w:rPr>
                <w:rFonts w:ascii="Times New Roman" w:hAnsi="Times New Roman"/>
                <w:sz w:val="18"/>
              </w:rPr>
              <w:t xml:space="preserve">                  </w:t>
            </w:r>
            <w:r w:rsidRPr="00773F08">
              <w:rPr>
                <w:rFonts w:ascii="Times New Roman" w:hAnsi="Times New Roman"/>
                <w:sz w:val="18"/>
              </w:rPr>
              <w:t xml:space="preserve"> w</w:t>
            </w:r>
            <w:proofErr w:type="gramEnd"/>
            <w:r w:rsidRPr="00773F08">
              <w:rPr>
                <w:rFonts w:ascii="Times New Roman" w:hAnsi="Times New Roman"/>
                <w:sz w:val="18"/>
              </w:rPr>
              <w:t xml:space="preserve"> wapń i </w:t>
            </w:r>
            <w:proofErr w:type="spellStart"/>
            <w:r w:rsidRPr="00773F08">
              <w:rPr>
                <w:rFonts w:ascii="Times New Roman" w:hAnsi="Times New Roman"/>
                <w:sz w:val="18"/>
              </w:rPr>
              <w:t>wit</w:t>
            </w:r>
            <w:proofErr w:type="spellEnd"/>
            <w:r w:rsidRPr="00773F08">
              <w:rPr>
                <w:rFonts w:ascii="Times New Roman" w:hAnsi="Times New Roman"/>
                <w:sz w:val="18"/>
              </w:rPr>
              <w:t>. D.</w:t>
            </w:r>
          </w:p>
        </w:tc>
        <w:tc>
          <w:tcPr>
            <w:tcW w:w="1260" w:type="pct"/>
          </w:tcPr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Zespół Podstawowej Opieki Zdrowotnej (lekarz POZ, pielęgniarka), ginekolog;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Inni: farmaceuci, terapeuci, osoby prowadzące programy promocji zdrowia, trenerzy aktywności fizycznej, opieka przedszkolna.</w:t>
            </w:r>
          </w:p>
        </w:tc>
        <w:tc>
          <w:tcPr>
            <w:tcW w:w="1712" w:type="pct"/>
          </w:tcPr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 xml:space="preserve">Wizyty przedporodowe oraz poporodowe, programy </w:t>
            </w:r>
            <w:proofErr w:type="spellStart"/>
            <w:r w:rsidRPr="00773F08">
              <w:rPr>
                <w:rFonts w:ascii="Times New Roman" w:hAnsi="Times New Roman"/>
                <w:sz w:val="18"/>
              </w:rPr>
              <w:t>profilaktyczno</w:t>
            </w:r>
            <w:proofErr w:type="spellEnd"/>
            <w:r w:rsidRPr="00773F08">
              <w:rPr>
                <w:rFonts w:ascii="Times New Roman" w:hAnsi="Times New Roman"/>
                <w:sz w:val="18"/>
              </w:rPr>
              <w:t xml:space="preserve"> – obserwacyjne noworodków, programy zdrowych kości dla dzieci, zapobieganie upadkom.</w:t>
            </w:r>
          </w:p>
        </w:tc>
      </w:tr>
      <w:tr w:rsidR="007522A2" w:rsidRPr="003D6C4D" w:rsidTr="003B076E">
        <w:tc>
          <w:tcPr>
            <w:tcW w:w="598" w:type="pct"/>
          </w:tcPr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Wiek szkolny</w:t>
            </w:r>
          </w:p>
        </w:tc>
        <w:tc>
          <w:tcPr>
            <w:tcW w:w="1430" w:type="pct"/>
          </w:tcPr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 xml:space="preserve">Zachowania prozdrowotne </w:t>
            </w:r>
            <w:proofErr w:type="gramStart"/>
            <w:r w:rsidRPr="00773F08">
              <w:rPr>
                <w:rFonts w:ascii="Times New Roman" w:hAnsi="Times New Roman"/>
                <w:sz w:val="18"/>
              </w:rPr>
              <w:t>zalecane  z</w:t>
            </w:r>
            <w:proofErr w:type="gramEnd"/>
            <w:r w:rsidRPr="00773F08">
              <w:rPr>
                <w:rFonts w:ascii="Times New Roman" w:hAnsi="Times New Roman"/>
                <w:sz w:val="18"/>
              </w:rPr>
              <w:t xml:space="preserve"> poprzedniego okresu życia.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Profilaktyka antytytoniowa.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Stosowanie bezpiecznych diet redukujących nadmierną masę ciała.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Zaburzenia miesiączkowania na tle nadmiernej aktywności fizycznej.</w:t>
            </w:r>
          </w:p>
        </w:tc>
        <w:tc>
          <w:tcPr>
            <w:tcW w:w="1260" w:type="pct"/>
          </w:tcPr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Zespół Podstawowej Opieki Zdrowotnej,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Programy zdrowotne,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Stołówka szkolna,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Nauczyciele,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Szkolna pielęgniarka,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Agencje/kluby wolontariuszy pomocy dla młodzieży.</w:t>
            </w:r>
          </w:p>
        </w:tc>
        <w:tc>
          <w:tcPr>
            <w:tcW w:w="1712" w:type="pct"/>
          </w:tcPr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Szkolne programy promocji zdrowia;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Programy aktywności fizycznej;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Posiłki bogate w wapń, dostępność mleka;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Programy informujące o szkodliwości oraz niebezpieczeństwach diet oraz restrykcyjnego odżywiania;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Edukacja/wskazówki i doradztwo.</w:t>
            </w:r>
          </w:p>
        </w:tc>
      </w:tr>
      <w:tr w:rsidR="007522A2" w:rsidRPr="003D6C4D" w:rsidTr="003B076E">
        <w:tc>
          <w:tcPr>
            <w:tcW w:w="598" w:type="pct"/>
          </w:tcPr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Młodzi dorośli</w:t>
            </w:r>
          </w:p>
        </w:tc>
        <w:tc>
          <w:tcPr>
            <w:tcW w:w="1430" w:type="pct"/>
          </w:tcPr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 xml:space="preserve">Kontynuowanie poruszanie </w:t>
            </w:r>
            <w:proofErr w:type="gramStart"/>
            <w:r w:rsidRPr="00773F08">
              <w:rPr>
                <w:rFonts w:ascii="Times New Roman" w:hAnsi="Times New Roman"/>
                <w:sz w:val="18"/>
              </w:rPr>
              <w:t xml:space="preserve">tematów 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773F08">
              <w:rPr>
                <w:rFonts w:ascii="Times New Roman" w:hAnsi="Times New Roman"/>
                <w:sz w:val="18"/>
              </w:rPr>
              <w:t>z</w:t>
            </w:r>
            <w:proofErr w:type="gramEnd"/>
            <w:r w:rsidRPr="00773F08">
              <w:rPr>
                <w:rFonts w:ascii="Times New Roman" w:hAnsi="Times New Roman"/>
                <w:sz w:val="18"/>
              </w:rPr>
              <w:t xml:space="preserve"> poprzednich lat.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Zaburzenia miesiączkowania powyżej 6 miesięcy.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Wczesna menopauza.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Stosowanie glikokortykoidów doustnych.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Alkoholizm i jego zwalczanie.</w:t>
            </w:r>
          </w:p>
        </w:tc>
        <w:tc>
          <w:tcPr>
            <w:tcW w:w="1260" w:type="pct"/>
          </w:tcPr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Zespół Podstawowej Opieki Zdrowotnej;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Zespoły profesjonalistów, Centra doradztwa zdrowia,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Farmaceuci,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Agencje/kluby wolontariuszy pomocy dla młodzieży.</w:t>
            </w:r>
          </w:p>
        </w:tc>
        <w:tc>
          <w:tcPr>
            <w:tcW w:w="1712" w:type="pct"/>
          </w:tcPr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Badania lekarskie: ocena specjalistyczna z zakresu ginekologii, endokrynologii;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Ocena ryzyka OP;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Promocja aktywności fizycznej,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Profesjonalne doradztwo, edukacja, wskazówki i porady prozdrowotne.</w:t>
            </w:r>
          </w:p>
        </w:tc>
      </w:tr>
      <w:tr w:rsidR="007522A2" w:rsidRPr="003D6C4D" w:rsidTr="003B076E">
        <w:tc>
          <w:tcPr>
            <w:tcW w:w="598" w:type="pct"/>
          </w:tcPr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proofErr w:type="gramStart"/>
            <w:r w:rsidRPr="00773F08">
              <w:rPr>
                <w:rFonts w:ascii="Times New Roman" w:hAnsi="Times New Roman"/>
                <w:sz w:val="18"/>
              </w:rPr>
              <w:t>Dorośli                 w</w:t>
            </w:r>
            <w:proofErr w:type="gramEnd"/>
            <w:r w:rsidRPr="00773F08">
              <w:rPr>
                <w:rFonts w:ascii="Times New Roman" w:hAnsi="Times New Roman"/>
                <w:sz w:val="18"/>
              </w:rPr>
              <w:t xml:space="preserve"> średnim wieku</w:t>
            </w:r>
          </w:p>
        </w:tc>
        <w:tc>
          <w:tcPr>
            <w:tcW w:w="1430" w:type="pct"/>
          </w:tcPr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Kontynuacja tematyki z okresu młodzi dorośli.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 xml:space="preserve">Stosowanie </w:t>
            </w:r>
            <w:r w:rsidRPr="00363C2C">
              <w:rPr>
                <w:rFonts w:ascii="Times New Roman" w:hAnsi="Times New Roman"/>
                <w:sz w:val="18"/>
              </w:rPr>
              <w:t>HTZ</w:t>
            </w:r>
          </w:p>
        </w:tc>
        <w:tc>
          <w:tcPr>
            <w:tcW w:w="1260" w:type="pct"/>
          </w:tcPr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Zespół Podstawowej Opieki Zdrowotnej;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Zespoły profesjonalistów, Centra doradztwa zdrowia,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Farmaceuci,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Agencje/kluby wolontariuszy pomocy dla młodzieży.</w:t>
            </w:r>
          </w:p>
        </w:tc>
        <w:tc>
          <w:tcPr>
            <w:tcW w:w="1712" w:type="pct"/>
          </w:tcPr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Badania lekarskie: ocena specjalistyczna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773F08">
              <w:rPr>
                <w:rFonts w:ascii="Times New Roman" w:hAnsi="Times New Roman"/>
                <w:sz w:val="18"/>
              </w:rPr>
              <w:t>z zakresu ginekologii, endokrynologii;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 xml:space="preserve">Ocena ryzyka </w:t>
            </w:r>
            <w:r w:rsidRPr="00363C2C">
              <w:rPr>
                <w:rFonts w:ascii="Times New Roman" w:hAnsi="Times New Roman"/>
                <w:sz w:val="18"/>
              </w:rPr>
              <w:t>OP</w:t>
            </w:r>
            <w:r w:rsidRPr="00773F08">
              <w:rPr>
                <w:rFonts w:ascii="Times New Roman" w:hAnsi="Times New Roman"/>
                <w:sz w:val="18"/>
              </w:rPr>
              <w:t>;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Promocja aktywności fizycznej,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Profesjonalne doradztwo, edukacja, wskazówki i porady prozdrowotne;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Badanie DXA w grupach ryzyka;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Ocena menopauzy.</w:t>
            </w:r>
          </w:p>
        </w:tc>
      </w:tr>
      <w:tr w:rsidR="007522A2" w:rsidRPr="003D6C4D" w:rsidTr="003B076E">
        <w:tc>
          <w:tcPr>
            <w:tcW w:w="598" w:type="pct"/>
          </w:tcPr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Dorośli &gt;65 roku życia</w:t>
            </w:r>
          </w:p>
        </w:tc>
        <w:tc>
          <w:tcPr>
            <w:tcW w:w="1430" w:type="pct"/>
          </w:tcPr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Kontynuowanie tematyki z poprzedniego okresu.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Ocena ryzyka osteoporozy.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Ocena ryzyka upadków.</w:t>
            </w:r>
          </w:p>
        </w:tc>
        <w:tc>
          <w:tcPr>
            <w:tcW w:w="1260" w:type="pct"/>
          </w:tcPr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Zespoły Podstawowej Opieki Zdrowotnej,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Promocja zdrowia,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Farmaceuci,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Fizjoterapeuci,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Kluby seniora.</w:t>
            </w:r>
          </w:p>
        </w:tc>
        <w:tc>
          <w:tcPr>
            <w:tcW w:w="1712" w:type="pct"/>
          </w:tcPr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Selekcja pacjentów z wysokim ryzykiem osteoporozy oraz rozpoczęcie leczenia.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Ocena ryzyka dolegliwości wieku starczego dla osób z grupy ryzyka oraz omawianie</w:t>
            </w:r>
            <w:r>
              <w:rPr>
                <w:rFonts w:ascii="Times New Roman" w:hAnsi="Times New Roman"/>
                <w:sz w:val="18"/>
              </w:rPr>
              <w:t xml:space="preserve"> strategii przeciwdziałania im. </w:t>
            </w:r>
            <w:r w:rsidRPr="00773F08">
              <w:rPr>
                <w:rFonts w:ascii="Times New Roman" w:hAnsi="Times New Roman"/>
                <w:sz w:val="18"/>
              </w:rPr>
              <w:t>Szeroko zakrojone akcje informacyjne na temat zdrowych kości.</w:t>
            </w:r>
          </w:p>
          <w:p w:rsidR="007522A2" w:rsidRPr="00773F08" w:rsidRDefault="007522A2" w:rsidP="003B076E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773F08">
              <w:rPr>
                <w:rFonts w:ascii="Times New Roman" w:hAnsi="Times New Roman"/>
                <w:sz w:val="18"/>
              </w:rPr>
              <w:t>Stosowanie specjalistycznego programu usprawniania ruchowego, edukacja, doradztwo.</w:t>
            </w:r>
          </w:p>
        </w:tc>
      </w:tr>
    </w:tbl>
    <w:p w:rsidR="00220D07" w:rsidRDefault="00220D07">
      <w:bookmarkStart w:id="0" w:name="_GoBack"/>
      <w:bookmarkEnd w:id="0"/>
    </w:p>
    <w:sectPr w:rsidR="00220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A2"/>
    <w:rsid w:val="00220D07"/>
    <w:rsid w:val="0075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2101F-1C63-4E73-81F9-0DB7D3CB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22A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Klik, Dorota</dc:creator>
  <cp:keywords/>
  <dc:description/>
  <cp:lastModifiedBy>Klik, Dorota</cp:lastModifiedBy>
  <cp:revision>1</cp:revision>
  <dcterms:created xsi:type="dcterms:W3CDTF">2025-10-09T11:13:00Z</dcterms:created>
  <dcterms:modified xsi:type="dcterms:W3CDTF">2025-10-09T11:13:00Z</dcterms:modified>
</cp:coreProperties>
</file>